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9D32" w14:textId="2F30276E" w:rsidR="00520F66" w:rsidRPr="001C4EF1" w:rsidRDefault="009429E5" w:rsidP="00C456D6">
      <w:pPr>
        <w:pStyle w:val="Documenttitle"/>
        <w:ind w:left="-284"/>
        <w:rPr>
          <w:rFonts w:ascii="Source Sans Pro" w:hAnsi="Source Sans Pro"/>
          <w:sz w:val="44"/>
          <w:szCs w:val="40"/>
        </w:rPr>
      </w:pPr>
      <w:r w:rsidRPr="001C4EF1">
        <w:rPr>
          <w:rFonts w:ascii="Source Sans Pro" w:hAnsi="Source Sans Pro"/>
          <w:noProof/>
          <w:sz w:val="44"/>
          <w:szCs w:val="40"/>
          <w14:ligatures w14:val="standardContextual"/>
        </w:rPr>
        <w:drawing>
          <wp:anchor distT="0" distB="0" distL="114300" distR="114300" simplePos="0" relativeHeight="251658240" behindDoc="1" locked="0" layoutInCell="1" allowOverlap="1" wp14:anchorId="35E98C0E" wp14:editId="1DB85958">
            <wp:simplePos x="0" y="0"/>
            <wp:positionH relativeFrom="column">
              <wp:posOffset>5092700</wp:posOffset>
            </wp:positionH>
            <wp:positionV relativeFrom="page">
              <wp:posOffset>139700</wp:posOffset>
            </wp:positionV>
            <wp:extent cx="1841500" cy="908685"/>
            <wp:effectExtent l="0" t="0" r="0" b="0"/>
            <wp:wrapSquare wrapText="bothSides"/>
            <wp:docPr id="6533616" name="Picture 1" descr="A blue circle with a green arrow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616" name="Picture 1" descr="A blue circle with a green arrow i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908685"/>
                    </a:xfrm>
                    <a:prstGeom prst="rect">
                      <a:avLst/>
                    </a:prstGeom>
                  </pic:spPr>
                </pic:pic>
              </a:graphicData>
            </a:graphic>
            <wp14:sizeRelH relativeFrom="page">
              <wp14:pctWidth>0</wp14:pctWidth>
            </wp14:sizeRelH>
            <wp14:sizeRelV relativeFrom="page">
              <wp14:pctHeight>0</wp14:pctHeight>
            </wp14:sizeRelV>
          </wp:anchor>
        </w:drawing>
      </w:r>
      <w:r w:rsidR="00460DAA" w:rsidRPr="001C4EF1">
        <w:rPr>
          <w:rFonts w:ascii="Source Sans Pro" w:hAnsi="Source Sans Pro"/>
          <w:sz w:val="44"/>
          <w:szCs w:val="40"/>
        </w:rPr>
        <w:t xml:space="preserve">Issues and recommendations </w:t>
      </w:r>
      <w:r w:rsidR="00547871" w:rsidRPr="001C4EF1">
        <w:rPr>
          <w:rFonts w:ascii="Source Sans Pro" w:hAnsi="Source Sans Pro"/>
          <w:sz w:val="44"/>
          <w:szCs w:val="40"/>
        </w:rPr>
        <w:t>for</w:t>
      </w:r>
      <w:r w:rsidR="00460DAA" w:rsidRPr="001C4EF1">
        <w:rPr>
          <w:rFonts w:ascii="Source Sans Pro" w:hAnsi="Source Sans Pro"/>
          <w:sz w:val="44"/>
          <w:szCs w:val="40"/>
        </w:rPr>
        <w:t xml:space="preserve"> </w:t>
      </w:r>
      <w:r w:rsidR="0034152F" w:rsidRPr="001C4EF1">
        <w:rPr>
          <w:rFonts w:ascii="Source Sans Pro" w:hAnsi="Source Sans Pro"/>
          <w:sz w:val="44"/>
          <w:szCs w:val="40"/>
        </w:rPr>
        <w:t>disability and health</w:t>
      </w:r>
      <w:r w:rsidR="00192DF4" w:rsidRPr="001C4EF1">
        <w:rPr>
          <w:rFonts w:ascii="Source Sans Pro" w:hAnsi="Source Sans Pro"/>
          <w:sz w:val="44"/>
          <w:szCs w:val="40"/>
        </w:rPr>
        <w:t xml:space="preserve"> </w:t>
      </w:r>
      <w:r w:rsidR="00A82BAF" w:rsidRPr="001C4EF1">
        <w:rPr>
          <w:rFonts w:ascii="Source Sans Pro" w:hAnsi="Source Sans Pro"/>
          <w:sz w:val="44"/>
          <w:szCs w:val="40"/>
        </w:rPr>
        <w:t>reform</w:t>
      </w:r>
      <w:r w:rsidR="00547871" w:rsidRPr="001C4EF1">
        <w:rPr>
          <w:rFonts w:ascii="Source Sans Pro" w:hAnsi="Source Sans Pro"/>
          <w:sz w:val="44"/>
          <w:szCs w:val="40"/>
        </w:rPr>
        <w:t xml:space="preserve">s </w:t>
      </w:r>
      <w:r w:rsidR="00192DF4" w:rsidRPr="001C4EF1">
        <w:rPr>
          <w:rFonts w:ascii="Source Sans Pro" w:hAnsi="Source Sans Pro"/>
          <w:sz w:val="44"/>
          <w:szCs w:val="40"/>
        </w:rPr>
        <w:t xml:space="preserve">in Australia </w:t>
      </w:r>
    </w:p>
    <w:p w14:paraId="705CEC22" w14:textId="79B931C6" w:rsidR="00300E87" w:rsidRDefault="00EF74DA" w:rsidP="00C456D6">
      <w:pPr>
        <w:ind w:left="-284"/>
        <w:rPr>
          <w:rFonts w:ascii="Source Sans Pro" w:hAnsi="Source Sans Pro"/>
        </w:rPr>
      </w:pPr>
      <w:r>
        <w:rPr>
          <w:rFonts w:ascii="Source Sans Pro" w:hAnsi="Source Sans Pro"/>
        </w:rPr>
        <w:t>These areas were i</w:t>
      </w:r>
      <w:r w:rsidR="00300E87">
        <w:rPr>
          <w:rFonts w:ascii="Source Sans Pro" w:hAnsi="Source Sans Pro"/>
        </w:rPr>
        <w:t>dentified in workshops</w:t>
      </w:r>
      <w:r w:rsidR="00796189">
        <w:rPr>
          <w:rFonts w:ascii="Source Sans Pro" w:hAnsi="Source Sans Pro"/>
        </w:rPr>
        <w:t xml:space="preserve"> </w:t>
      </w:r>
      <w:r w:rsidR="007A2E2D">
        <w:rPr>
          <w:rFonts w:ascii="Source Sans Pro" w:hAnsi="Source Sans Pro"/>
        </w:rPr>
        <w:t>attended by</w:t>
      </w:r>
      <w:r w:rsidR="00581F85" w:rsidRPr="00581F85">
        <w:rPr>
          <w:rFonts w:ascii="Source Sans Pro" w:hAnsi="Source Sans Pro"/>
        </w:rPr>
        <w:t xml:space="preserve"> </w:t>
      </w:r>
      <w:r w:rsidRPr="00EF74DA">
        <w:rPr>
          <w:rFonts w:ascii="Source Sans Pro" w:hAnsi="Source Sans Pro"/>
        </w:rPr>
        <w:t xml:space="preserve">senior government policy makers and key </w:t>
      </w:r>
      <w:proofErr w:type="spellStart"/>
      <w:r w:rsidRPr="00EF74DA">
        <w:rPr>
          <w:rFonts w:ascii="Source Sans Pro" w:hAnsi="Source Sans Pro"/>
        </w:rPr>
        <w:t>organisations</w:t>
      </w:r>
      <w:proofErr w:type="spellEnd"/>
      <w:r w:rsidRPr="00EF74DA">
        <w:rPr>
          <w:rFonts w:ascii="Source Sans Pro" w:hAnsi="Source Sans Pro"/>
        </w:rPr>
        <w:t xml:space="preserve"> in health and disability that interact at the Commonwealth level.</w:t>
      </w:r>
    </w:p>
    <w:p w14:paraId="52BF2F88" w14:textId="696341E5" w:rsidR="009429E5" w:rsidRPr="00E6731E" w:rsidRDefault="00D85C04" w:rsidP="00C456D6">
      <w:pPr>
        <w:ind w:left="-284"/>
        <w:rPr>
          <w:rFonts w:ascii="Source Sans Pro" w:hAnsi="Source Sans Pro"/>
        </w:rPr>
      </w:pPr>
      <w:r>
        <w:rPr>
          <w:rFonts w:ascii="Source Sans Pro" w:hAnsi="Source Sans Pro"/>
        </w:rPr>
        <w:t xml:space="preserve">This </w:t>
      </w:r>
      <w:r w:rsidR="00580329">
        <w:rPr>
          <w:rFonts w:ascii="Source Sans Pro" w:hAnsi="Source Sans Pro"/>
        </w:rPr>
        <w:t>table is an excerpt from</w:t>
      </w:r>
      <w:r w:rsidR="00066575">
        <w:rPr>
          <w:rFonts w:ascii="Source Sans Pro" w:hAnsi="Source Sans Pro"/>
        </w:rPr>
        <w:t xml:space="preserve">: </w:t>
      </w:r>
      <w:r w:rsidR="00066575" w:rsidRPr="00BB4B67">
        <w:rPr>
          <w:rFonts w:ascii="Source Sans Pro" w:hAnsi="Source Sans Pro"/>
          <w:lang w:val="en-AU"/>
        </w:rPr>
        <w:t xml:space="preserve">Kavanagh, A. &amp; </w:t>
      </w:r>
      <w:proofErr w:type="spellStart"/>
      <w:r w:rsidR="00066575" w:rsidRPr="00BB4B67">
        <w:rPr>
          <w:rFonts w:ascii="Source Sans Pro" w:hAnsi="Source Sans Pro"/>
          <w:lang w:val="en-AU"/>
        </w:rPr>
        <w:t>Badji</w:t>
      </w:r>
      <w:proofErr w:type="spellEnd"/>
      <w:r w:rsidR="00066575" w:rsidRPr="00BB4B67">
        <w:rPr>
          <w:rFonts w:ascii="Source Sans Pro" w:hAnsi="Source Sans Pro"/>
          <w:lang w:val="en-AU"/>
        </w:rPr>
        <w:t xml:space="preserve">, S. (2024). </w:t>
      </w:r>
      <w:r w:rsidR="00066575" w:rsidRPr="00BB4B67">
        <w:rPr>
          <w:rFonts w:ascii="Source Sans Pro" w:hAnsi="Source Sans Pro"/>
          <w:i/>
          <w:lang w:val="en-AU"/>
        </w:rPr>
        <w:t>System changes to enable optimal health outcomes for people with disability.</w:t>
      </w:r>
      <w:r w:rsidR="00066575" w:rsidRPr="00BB4B67">
        <w:rPr>
          <w:rFonts w:ascii="Source Sans Pro" w:hAnsi="Source Sans Pro"/>
          <w:lang w:val="en-AU"/>
        </w:rPr>
        <w:t xml:space="preserve"> Melbourne: Centre of Research Excellence in Disability and Health. </w:t>
      </w:r>
      <w:hyperlink r:id="rId8" w:history="1">
        <w:r w:rsidR="00066575" w:rsidRPr="00BB4B67">
          <w:rPr>
            <w:rStyle w:val="Hyperlink"/>
            <w:color w:val="3F3952"/>
            <w:lang w:val="en-AU"/>
          </w:rPr>
          <w:t>https://doi.org/10.26188/24171750</w:t>
        </w:r>
      </w:hyperlink>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529"/>
        <w:gridCol w:w="5670"/>
      </w:tblGrid>
      <w:tr w:rsidR="0022285B" w:rsidRPr="0022285B" w14:paraId="725693A9" w14:textId="77777777" w:rsidTr="00D83C90">
        <w:trPr>
          <w:trHeight w:val="336"/>
          <w:jc w:val="center"/>
        </w:trPr>
        <w:tc>
          <w:tcPr>
            <w:tcW w:w="5529" w:type="dxa"/>
            <w:shd w:val="clear" w:color="auto" w:fill="A6A6A6"/>
            <w:noWrap/>
            <w:vAlign w:val="center"/>
            <w:hideMark/>
          </w:tcPr>
          <w:p w14:paraId="134A09FA" w14:textId="77777777" w:rsidR="0022285B" w:rsidRPr="0022285B" w:rsidRDefault="0022285B" w:rsidP="0022285B">
            <w:pPr>
              <w:spacing w:after="0" w:line="276" w:lineRule="auto"/>
              <w:ind w:left="1" w:firstLine="9"/>
              <w:jc w:val="center"/>
              <w:rPr>
                <w:rFonts w:ascii="Source Sans Pro" w:hAnsi="Source Sans Pro"/>
                <w:b/>
                <w:bCs/>
                <w:color w:val="FFFFFF"/>
                <w:sz w:val="21"/>
                <w:szCs w:val="21"/>
                <w:lang w:val="en-AU"/>
              </w:rPr>
            </w:pPr>
            <w:r w:rsidRPr="0022285B">
              <w:rPr>
                <w:rFonts w:ascii="Source Sans Pro" w:hAnsi="Source Sans Pro"/>
                <w:b/>
                <w:bCs/>
                <w:color w:val="FFFFFF"/>
                <w:sz w:val="21"/>
                <w:szCs w:val="21"/>
                <w:lang w:val="en-AU"/>
              </w:rPr>
              <w:t>ISSUES</w:t>
            </w:r>
          </w:p>
        </w:tc>
        <w:tc>
          <w:tcPr>
            <w:tcW w:w="5670" w:type="dxa"/>
            <w:shd w:val="clear" w:color="auto" w:fill="A6A6A6"/>
            <w:noWrap/>
            <w:vAlign w:val="center"/>
            <w:hideMark/>
          </w:tcPr>
          <w:p w14:paraId="1A6D68B4" w14:textId="77777777" w:rsidR="0022285B" w:rsidRPr="0022285B" w:rsidRDefault="0022285B" w:rsidP="0022285B">
            <w:pPr>
              <w:spacing w:after="0" w:line="276" w:lineRule="auto"/>
              <w:ind w:left="1" w:firstLine="9"/>
              <w:jc w:val="center"/>
              <w:rPr>
                <w:rFonts w:ascii="Source Sans Pro" w:hAnsi="Source Sans Pro"/>
                <w:b/>
                <w:bCs/>
                <w:color w:val="FFFFFF"/>
                <w:sz w:val="21"/>
                <w:szCs w:val="21"/>
                <w:lang w:val="en-AU"/>
              </w:rPr>
            </w:pPr>
            <w:r w:rsidRPr="0022285B">
              <w:rPr>
                <w:rFonts w:ascii="Source Sans Pro" w:hAnsi="Source Sans Pro"/>
                <w:b/>
                <w:bCs/>
                <w:color w:val="FFFFFF"/>
                <w:sz w:val="21"/>
                <w:szCs w:val="21"/>
                <w:lang w:val="en-AU"/>
              </w:rPr>
              <w:t>RECOMMENDATIONS</w:t>
            </w:r>
          </w:p>
        </w:tc>
      </w:tr>
      <w:tr w:rsidR="0022285B" w:rsidRPr="0022285B" w14:paraId="02AC3652" w14:textId="77777777" w:rsidTr="00460064">
        <w:trPr>
          <w:trHeight w:val="425"/>
          <w:jc w:val="center"/>
        </w:trPr>
        <w:tc>
          <w:tcPr>
            <w:tcW w:w="11199" w:type="dxa"/>
            <w:gridSpan w:val="2"/>
            <w:shd w:val="clear" w:color="auto" w:fill="B4C6E7"/>
            <w:noWrap/>
            <w:vAlign w:val="center"/>
            <w:hideMark/>
          </w:tcPr>
          <w:p w14:paraId="7E6BA52A" w14:textId="77777777" w:rsidR="0022285B" w:rsidRPr="0022285B" w:rsidRDefault="0022285B" w:rsidP="00583D6D">
            <w:pPr>
              <w:spacing w:after="0" w:line="240" w:lineRule="auto"/>
              <w:ind w:left="1" w:firstLine="9"/>
              <w:jc w:val="center"/>
              <w:rPr>
                <w:rFonts w:ascii="Source Sans Pro" w:hAnsi="Source Sans Pro"/>
                <w:b/>
                <w:bCs/>
                <w:color w:val="3F3952"/>
                <w:sz w:val="21"/>
                <w:szCs w:val="21"/>
                <w:lang w:val="en-AU"/>
              </w:rPr>
            </w:pPr>
            <w:r w:rsidRPr="0022285B">
              <w:rPr>
                <w:rFonts w:ascii="Source Sans Pro" w:hAnsi="Source Sans Pro"/>
                <w:b/>
                <w:bCs/>
                <w:color w:val="3F3952"/>
                <w:sz w:val="21"/>
                <w:szCs w:val="21"/>
                <w:lang w:val="en-AU"/>
              </w:rPr>
              <w:t xml:space="preserve">Whole-of-government </w:t>
            </w:r>
            <w:r w:rsidRPr="0022285B">
              <w:rPr>
                <w:rFonts w:ascii="Source Sans Pro" w:hAnsi="Source Sans Pro"/>
                <w:b/>
                <w:bCs/>
                <w:color w:val="3F3952"/>
                <w:sz w:val="21"/>
                <w:szCs w:val="21"/>
              </w:rPr>
              <w:t>reforms</w:t>
            </w:r>
          </w:p>
        </w:tc>
      </w:tr>
      <w:tr w:rsidR="0022285B" w:rsidRPr="0022285B" w14:paraId="2FDD6A2C" w14:textId="77777777" w:rsidTr="004D4631">
        <w:trPr>
          <w:trHeight w:val="673"/>
          <w:jc w:val="center"/>
        </w:trPr>
        <w:tc>
          <w:tcPr>
            <w:tcW w:w="5529" w:type="dxa"/>
            <w:shd w:val="clear" w:color="auto" w:fill="DEEAF6"/>
            <w:noWrap/>
            <w:hideMark/>
          </w:tcPr>
          <w:p w14:paraId="23AC9739" w14:textId="77777777" w:rsidR="0022285B" w:rsidRPr="0022285B" w:rsidRDefault="0022285B" w:rsidP="00460064">
            <w:pPr>
              <w:spacing w:after="0"/>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  Lack of overarching disability and health strategy to inform government action at a national level.</w:t>
            </w:r>
          </w:p>
        </w:tc>
        <w:tc>
          <w:tcPr>
            <w:tcW w:w="5670" w:type="dxa"/>
            <w:shd w:val="clear" w:color="auto" w:fill="DEEAF6"/>
            <w:noWrap/>
            <w:hideMark/>
          </w:tcPr>
          <w:p w14:paraId="2F32185D" w14:textId="77777777" w:rsidR="0022285B" w:rsidRPr="0022285B" w:rsidRDefault="0022285B" w:rsidP="00460064">
            <w:pPr>
              <w:spacing w:after="0"/>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  Develop a National Disability and Health Strategy.</w:t>
            </w:r>
          </w:p>
        </w:tc>
      </w:tr>
      <w:tr w:rsidR="0022285B" w:rsidRPr="0022285B" w14:paraId="2157B443" w14:textId="77777777" w:rsidTr="007D32ED">
        <w:trPr>
          <w:trHeight w:val="655"/>
          <w:jc w:val="center"/>
        </w:trPr>
        <w:tc>
          <w:tcPr>
            <w:tcW w:w="5529" w:type="dxa"/>
            <w:shd w:val="clear" w:color="auto" w:fill="DEEAF6"/>
            <w:noWrap/>
            <w:hideMark/>
          </w:tcPr>
          <w:p w14:paraId="5C3EF146"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2.   Exclusion of people with disability from policy and decision-making processes at national level.</w:t>
            </w:r>
          </w:p>
        </w:tc>
        <w:tc>
          <w:tcPr>
            <w:tcW w:w="5670" w:type="dxa"/>
            <w:shd w:val="clear" w:color="auto" w:fill="DEEAF6"/>
            <w:noWrap/>
            <w:hideMark/>
          </w:tcPr>
          <w:p w14:paraId="75BAFBB8"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2.  Include people with disability in the design and implementation of policy across all sectors.</w:t>
            </w:r>
          </w:p>
        </w:tc>
      </w:tr>
      <w:tr w:rsidR="0022285B" w:rsidRPr="0022285B" w14:paraId="4F3E12CD" w14:textId="77777777" w:rsidTr="007D32ED">
        <w:trPr>
          <w:trHeight w:val="1132"/>
          <w:jc w:val="center"/>
        </w:trPr>
        <w:tc>
          <w:tcPr>
            <w:tcW w:w="5529" w:type="dxa"/>
            <w:shd w:val="clear" w:color="auto" w:fill="DEEAF6"/>
            <w:noWrap/>
            <w:hideMark/>
          </w:tcPr>
          <w:p w14:paraId="3CAB2FE7"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3.  Lack of coordination across government services and sectors to ensure the needs of people with disability are met.</w:t>
            </w:r>
          </w:p>
        </w:tc>
        <w:tc>
          <w:tcPr>
            <w:tcW w:w="5670" w:type="dxa"/>
            <w:shd w:val="clear" w:color="auto" w:fill="DEEAF6"/>
            <w:noWrap/>
            <w:hideMark/>
          </w:tcPr>
          <w:p w14:paraId="1BCE2A6B" w14:textId="56189809"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3.  Consider the establishment of a National Agency for Disability to coordinate disability-related policy and programs across government including health, possibly within the Department of the Prime Minister and Cabinet.</w:t>
            </w:r>
          </w:p>
        </w:tc>
      </w:tr>
      <w:tr w:rsidR="0022285B" w:rsidRPr="0022285B" w14:paraId="246C702C" w14:textId="77777777" w:rsidTr="007D32ED">
        <w:trPr>
          <w:trHeight w:val="1048"/>
          <w:jc w:val="center"/>
        </w:trPr>
        <w:tc>
          <w:tcPr>
            <w:tcW w:w="5529" w:type="dxa"/>
            <w:shd w:val="clear" w:color="auto" w:fill="DEEAF6"/>
            <w:noWrap/>
            <w:hideMark/>
          </w:tcPr>
          <w:p w14:paraId="6CC6E1E7" w14:textId="1B50833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4.  Absence of quality national data to monitor and evaluate the impact of health and related policies, for example, education, employment and housing on the health of people with disability</w:t>
            </w:r>
            <w:r w:rsidR="007D32ED" w:rsidRPr="00D83C90">
              <w:rPr>
                <w:rFonts w:ascii="Source Sans Pro" w:hAnsi="Source Sans Pro"/>
                <w:color w:val="3F3952"/>
                <w:sz w:val="21"/>
                <w:szCs w:val="21"/>
                <w:lang w:val="en-AU"/>
              </w:rPr>
              <w:t>.</w:t>
            </w:r>
          </w:p>
        </w:tc>
        <w:tc>
          <w:tcPr>
            <w:tcW w:w="5670" w:type="dxa"/>
            <w:shd w:val="clear" w:color="auto" w:fill="DEEAF6"/>
            <w:noWrap/>
            <w:hideMark/>
          </w:tcPr>
          <w:p w14:paraId="24D542B2"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4.  Improve the quality of national data through the development of disability identifiers and integration (linkage) of data across State and Territory service systems.</w:t>
            </w:r>
          </w:p>
        </w:tc>
      </w:tr>
      <w:tr w:rsidR="0022285B" w:rsidRPr="0022285B" w14:paraId="072D8300" w14:textId="77777777" w:rsidTr="00460064">
        <w:trPr>
          <w:trHeight w:val="395"/>
          <w:jc w:val="center"/>
        </w:trPr>
        <w:tc>
          <w:tcPr>
            <w:tcW w:w="11199" w:type="dxa"/>
            <w:gridSpan w:val="2"/>
            <w:shd w:val="clear" w:color="auto" w:fill="C9C9C9"/>
            <w:noWrap/>
            <w:vAlign w:val="center"/>
            <w:hideMark/>
          </w:tcPr>
          <w:p w14:paraId="6F1802BA" w14:textId="77777777" w:rsidR="0022285B" w:rsidRPr="0022285B" w:rsidRDefault="0022285B" w:rsidP="00583D6D">
            <w:pPr>
              <w:spacing w:after="0" w:line="240" w:lineRule="auto"/>
              <w:ind w:left="1" w:right="43" w:firstLine="9"/>
              <w:jc w:val="center"/>
              <w:rPr>
                <w:rFonts w:ascii="Calibri Light" w:hAnsi="Calibri Light" w:cs="Calibri Light"/>
                <w:color w:val="000000"/>
                <w:sz w:val="21"/>
                <w:szCs w:val="21"/>
                <w:lang w:val="en-AU"/>
              </w:rPr>
            </w:pPr>
            <w:r w:rsidRPr="0022285B">
              <w:rPr>
                <w:rFonts w:ascii="Source Sans Pro" w:hAnsi="Source Sans Pro"/>
                <w:b/>
                <w:bCs/>
                <w:color w:val="3F3952"/>
                <w:sz w:val="21"/>
                <w:szCs w:val="21"/>
                <w:lang w:val="en-AU"/>
              </w:rPr>
              <w:t xml:space="preserve">Health system </w:t>
            </w:r>
            <w:r w:rsidRPr="0022285B">
              <w:rPr>
                <w:rFonts w:ascii="Source Sans Pro" w:hAnsi="Source Sans Pro"/>
                <w:b/>
                <w:bCs/>
                <w:color w:val="3F3952"/>
                <w:sz w:val="21"/>
                <w:szCs w:val="21"/>
              </w:rPr>
              <w:t>reforms</w:t>
            </w:r>
          </w:p>
        </w:tc>
      </w:tr>
      <w:tr w:rsidR="0022285B" w:rsidRPr="0022285B" w14:paraId="240D18B8" w14:textId="77777777" w:rsidTr="00125A11">
        <w:trPr>
          <w:trHeight w:val="828"/>
          <w:jc w:val="center"/>
        </w:trPr>
        <w:tc>
          <w:tcPr>
            <w:tcW w:w="5529" w:type="dxa"/>
            <w:shd w:val="clear" w:color="auto" w:fill="EDEDED"/>
            <w:noWrap/>
          </w:tcPr>
          <w:p w14:paraId="780739FD" w14:textId="26693F85"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 xml:space="preserve">5. </w:t>
            </w:r>
            <w:r w:rsidR="00C92EEE">
              <w:rPr>
                <w:rFonts w:ascii="Source Sans Pro" w:hAnsi="Source Sans Pro"/>
                <w:color w:val="3F3952"/>
                <w:sz w:val="21"/>
                <w:szCs w:val="21"/>
                <w:lang w:val="en-AU"/>
              </w:rPr>
              <w:t xml:space="preserve"> </w:t>
            </w:r>
            <w:r w:rsidRPr="0022285B">
              <w:rPr>
                <w:rFonts w:ascii="Source Sans Pro" w:hAnsi="Source Sans Pro"/>
                <w:color w:val="3F3952"/>
                <w:sz w:val="21"/>
                <w:szCs w:val="21"/>
                <w:lang w:val="en-AU"/>
              </w:rPr>
              <w:t>Policies and programs not being assessed prior to implementation in terms of the likely impacts on the health of people with disability.</w:t>
            </w:r>
          </w:p>
        </w:tc>
        <w:tc>
          <w:tcPr>
            <w:tcW w:w="5670" w:type="dxa"/>
            <w:shd w:val="clear" w:color="auto" w:fill="EDEDED"/>
            <w:noWrap/>
          </w:tcPr>
          <w:p w14:paraId="48489872"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5.  Conduct Disability Impact Assessments to understand the potential impacts of policies on the health of people with disability.</w:t>
            </w:r>
          </w:p>
        </w:tc>
      </w:tr>
      <w:tr w:rsidR="0022285B" w:rsidRPr="0022285B" w14:paraId="37D80089" w14:textId="77777777" w:rsidTr="00125A11">
        <w:trPr>
          <w:trHeight w:val="655"/>
          <w:jc w:val="center"/>
        </w:trPr>
        <w:tc>
          <w:tcPr>
            <w:tcW w:w="5529" w:type="dxa"/>
            <w:shd w:val="clear" w:color="auto" w:fill="EDEDED"/>
            <w:noWrap/>
            <w:hideMark/>
          </w:tcPr>
          <w:p w14:paraId="257A1360"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6.  Health services are often not accessible to people with disability and do not address their needs.</w:t>
            </w:r>
          </w:p>
        </w:tc>
        <w:tc>
          <w:tcPr>
            <w:tcW w:w="5670" w:type="dxa"/>
            <w:shd w:val="clear" w:color="auto" w:fill="EDEDED"/>
            <w:noWrap/>
            <w:hideMark/>
          </w:tcPr>
          <w:p w14:paraId="57461D1F"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6.  Health services should be high quality, person-centred, accessible and address the needs of all people with disability.</w:t>
            </w:r>
          </w:p>
        </w:tc>
      </w:tr>
      <w:tr w:rsidR="0022285B" w:rsidRPr="0022285B" w14:paraId="4C0C0FA1" w14:textId="77777777" w:rsidTr="00125A11">
        <w:trPr>
          <w:trHeight w:val="860"/>
          <w:jc w:val="center"/>
        </w:trPr>
        <w:tc>
          <w:tcPr>
            <w:tcW w:w="5529" w:type="dxa"/>
            <w:shd w:val="clear" w:color="auto" w:fill="EDEDED"/>
            <w:noWrap/>
            <w:hideMark/>
          </w:tcPr>
          <w:p w14:paraId="74994C2D"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7.  Particular groups of people with disability experience considerable barriers to access mainstream services and do not have their specific needs met in the health care system.</w:t>
            </w:r>
          </w:p>
        </w:tc>
        <w:tc>
          <w:tcPr>
            <w:tcW w:w="5670" w:type="dxa"/>
            <w:shd w:val="clear" w:color="auto" w:fill="EDEDED"/>
            <w:noWrap/>
            <w:hideMark/>
          </w:tcPr>
          <w:p w14:paraId="380C5455"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7.  Tailored health care services where necessary and building the capacity of mainstream services for all people with disability</w:t>
            </w:r>
            <w:bookmarkStart w:id="0" w:name="_Hlk145948940"/>
            <w:r w:rsidRPr="0022285B">
              <w:rPr>
                <w:rFonts w:ascii="Source Sans Pro" w:hAnsi="Source Sans Pro"/>
                <w:color w:val="3F3952"/>
                <w:sz w:val="21"/>
                <w:szCs w:val="21"/>
                <w:lang w:val="en-AU"/>
              </w:rPr>
              <w:t xml:space="preserve">.  </w:t>
            </w:r>
            <w:bookmarkEnd w:id="0"/>
          </w:p>
        </w:tc>
      </w:tr>
      <w:tr w:rsidR="0022285B" w:rsidRPr="0022285B" w14:paraId="04D32330" w14:textId="77777777" w:rsidTr="00736744">
        <w:trPr>
          <w:trHeight w:val="848"/>
          <w:jc w:val="center"/>
        </w:trPr>
        <w:tc>
          <w:tcPr>
            <w:tcW w:w="5529" w:type="dxa"/>
            <w:shd w:val="clear" w:color="auto" w:fill="EDEDED"/>
            <w:noWrap/>
            <w:hideMark/>
          </w:tcPr>
          <w:p w14:paraId="05C069A9"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8.  Health care systems do not adequately incentivise the promotion of health.</w:t>
            </w:r>
          </w:p>
        </w:tc>
        <w:tc>
          <w:tcPr>
            <w:tcW w:w="5670" w:type="dxa"/>
            <w:shd w:val="clear" w:color="auto" w:fill="EDEDED"/>
            <w:noWrap/>
            <w:hideMark/>
          </w:tcPr>
          <w:p w14:paraId="41A22786"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8.  Health care systems should incentivise the promotion of health and equity outcomes, including for people disability, rather than simply fund activity (i.e., delivery of a service).</w:t>
            </w:r>
          </w:p>
        </w:tc>
      </w:tr>
      <w:tr w:rsidR="0022285B" w:rsidRPr="0022285B" w14:paraId="48500D5B" w14:textId="77777777" w:rsidTr="00C92EEE">
        <w:trPr>
          <w:trHeight w:val="1314"/>
          <w:jc w:val="center"/>
        </w:trPr>
        <w:tc>
          <w:tcPr>
            <w:tcW w:w="5529" w:type="dxa"/>
            <w:shd w:val="clear" w:color="auto" w:fill="EDEDED"/>
            <w:noWrap/>
            <w:hideMark/>
          </w:tcPr>
          <w:p w14:paraId="32F9A44E"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9.  While responsibilities</w:t>
            </w:r>
            <w:r w:rsidRPr="0022285B">
              <w:rPr>
                <w:rFonts w:ascii="Source Sans Pro" w:hAnsi="Source Sans Pro"/>
                <w:color w:val="3F3952"/>
                <w:sz w:val="21"/>
                <w:szCs w:val="21"/>
              </w:rPr>
              <w:t xml:space="preserve"> </w:t>
            </w:r>
            <w:r w:rsidRPr="0022285B">
              <w:rPr>
                <w:rFonts w:ascii="Source Sans Pro" w:hAnsi="Source Sans Pro"/>
                <w:color w:val="3F3952"/>
                <w:sz w:val="21"/>
                <w:szCs w:val="21"/>
                <w:lang w:val="en-AU"/>
              </w:rPr>
              <w:t>for health are the responsibility of Commonwealth and State and Territory governments, actions are often uncoordinated and boundaries unclear.</w:t>
            </w:r>
          </w:p>
        </w:tc>
        <w:tc>
          <w:tcPr>
            <w:tcW w:w="5670" w:type="dxa"/>
            <w:shd w:val="clear" w:color="auto" w:fill="EDEDED"/>
            <w:noWrap/>
            <w:hideMark/>
          </w:tcPr>
          <w:p w14:paraId="2E212332"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9.  Commonwealth, State and Territory governments work together to achieve optimal health outcomes for people with disability through a National Disability and Health Strategy and a specific action plan through the Australian Disability Strategy.</w:t>
            </w:r>
          </w:p>
        </w:tc>
      </w:tr>
      <w:tr w:rsidR="0022285B" w:rsidRPr="0022285B" w14:paraId="7475F810" w14:textId="77777777" w:rsidTr="00460064">
        <w:trPr>
          <w:trHeight w:val="366"/>
          <w:jc w:val="center"/>
        </w:trPr>
        <w:tc>
          <w:tcPr>
            <w:tcW w:w="11199" w:type="dxa"/>
            <w:gridSpan w:val="2"/>
            <w:shd w:val="clear" w:color="auto" w:fill="C5E0B3"/>
            <w:noWrap/>
            <w:vAlign w:val="center"/>
            <w:hideMark/>
          </w:tcPr>
          <w:p w14:paraId="421D2DE1" w14:textId="77777777" w:rsidR="0022285B" w:rsidRPr="0022285B" w:rsidRDefault="0022285B" w:rsidP="00583D6D">
            <w:pPr>
              <w:spacing w:after="0" w:line="240" w:lineRule="auto"/>
              <w:ind w:left="1" w:right="43" w:firstLine="9"/>
              <w:jc w:val="center"/>
              <w:rPr>
                <w:rFonts w:ascii="Calibri Light" w:hAnsi="Calibri Light" w:cs="Calibri Light"/>
                <w:color w:val="000000"/>
                <w:sz w:val="21"/>
                <w:szCs w:val="21"/>
                <w:lang w:val="en-AU"/>
              </w:rPr>
            </w:pPr>
            <w:r w:rsidRPr="0022285B">
              <w:rPr>
                <w:rFonts w:ascii="Source Sans Pro" w:hAnsi="Source Sans Pro"/>
                <w:b/>
                <w:bCs/>
                <w:color w:val="3F3952"/>
                <w:sz w:val="21"/>
                <w:szCs w:val="21"/>
                <w:lang w:val="en-AU"/>
              </w:rPr>
              <w:t xml:space="preserve">Cross-sectoral disability and health system </w:t>
            </w:r>
            <w:r w:rsidRPr="0022285B">
              <w:rPr>
                <w:rFonts w:ascii="Source Sans Pro" w:hAnsi="Source Sans Pro"/>
                <w:b/>
                <w:bCs/>
                <w:color w:val="3F3952"/>
                <w:sz w:val="21"/>
                <w:szCs w:val="21"/>
              </w:rPr>
              <w:t>reforms</w:t>
            </w:r>
          </w:p>
        </w:tc>
      </w:tr>
      <w:tr w:rsidR="0022285B" w:rsidRPr="0022285B" w14:paraId="5562D510" w14:textId="77777777" w:rsidTr="00214F93">
        <w:trPr>
          <w:trHeight w:val="1210"/>
          <w:jc w:val="center"/>
        </w:trPr>
        <w:tc>
          <w:tcPr>
            <w:tcW w:w="5529" w:type="dxa"/>
            <w:shd w:val="clear" w:color="auto" w:fill="E2EFD9"/>
            <w:noWrap/>
            <w:hideMark/>
          </w:tcPr>
          <w:p w14:paraId="6CBA6A28" w14:textId="77777777" w:rsidR="0022285B" w:rsidRPr="0022285B" w:rsidRDefault="0022285B" w:rsidP="00460064">
            <w:pPr>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10.  People with disability experience difficulties understanding and navigating complex and poorly connected disability and health service systems.</w:t>
            </w:r>
          </w:p>
        </w:tc>
        <w:tc>
          <w:tcPr>
            <w:tcW w:w="5670" w:type="dxa"/>
            <w:shd w:val="clear" w:color="auto" w:fill="E2EFD9"/>
            <w:noWrap/>
            <w:hideMark/>
          </w:tcPr>
          <w:p w14:paraId="46877365"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10.  The health system should proactively collaborate with other organisations to guarantee accessible and timely availability of information and services catering to the broader health and wellbeing needs of people with disability.</w:t>
            </w:r>
          </w:p>
        </w:tc>
      </w:tr>
      <w:tr w:rsidR="0022285B" w:rsidRPr="0022285B" w14:paraId="36B69CB4" w14:textId="77777777" w:rsidTr="00516CAD">
        <w:trPr>
          <w:trHeight w:val="714"/>
          <w:jc w:val="center"/>
        </w:trPr>
        <w:tc>
          <w:tcPr>
            <w:tcW w:w="5529" w:type="dxa"/>
            <w:shd w:val="clear" w:color="auto" w:fill="E2EFD9"/>
            <w:noWrap/>
          </w:tcPr>
          <w:p w14:paraId="4B94ABD1" w14:textId="77777777" w:rsidR="0022285B" w:rsidRPr="0022285B" w:rsidRDefault="0022285B" w:rsidP="00460064">
            <w:pPr>
              <w:spacing w:after="0"/>
              <w:ind w:left="35" w:right="0"/>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11.  Lack of incentives, structures and processes that enable sharing of knowledge and collaboration within government.</w:t>
            </w:r>
          </w:p>
        </w:tc>
        <w:tc>
          <w:tcPr>
            <w:tcW w:w="5670" w:type="dxa"/>
            <w:shd w:val="clear" w:color="auto" w:fill="E2EFD9"/>
            <w:noWrap/>
          </w:tcPr>
          <w:p w14:paraId="21904513" w14:textId="77777777" w:rsidR="0022285B" w:rsidRPr="0022285B" w:rsidRDefault="0022285B" w:rsidP="00460064">
            <w:pPr>
              <w:spacing w:after="0"/>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11.  Provide funding and opportunities for Commonwealth departments and agencies to work together.</w:t>
            </w:r>
          </w:p>
        </w:tc>
      </w:tr>
      <w:tr w:rsidR="0022285B" w:rsidRPr="0022285B" w14:paraId="37F644AC" w14:textId="77777777" w:rsidTr="00736744">
        <w:trPr>
          <w:trHeight w:val="883"/>
          <w:jc w:val="center"/>
        </w:trPr>
        <w:tc>
          <w:tcPr>
            <w:tcW w:w="5529" w:type="dxa"/>
            <w:shd w:val="clear" w:color="auto" w:fill="E2EFD9"/>
            <w:noWrap/>
            <w:hideMark/>
          </w:tcPr>
          <w:p w14:paraId="16A68514" w14:textId="77777777" w:rsidR="0022285B" w:rsidRPr="0022285B" w:rsidRDefault="0022285B" w:rsidP="0022285B">
            <w:pPr>
              <w:ind w:left="35"/>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12.  Lack of accountability within each system for the health of people with disability.</w:t>
            </w:r>
          </w:p>
        </w:tc>
        <w:tc>
          <w:tcPr>
            <w:tcW w:w="5670" w:type="dxa"/>
            <w:shd w:val="clear" w:color="auto" w:fill="E2EFD9"/>
            <w:noWrap/>
            <w:hideMark/>
          </w:tcPr>
          <w:p w14:paraId="0D4C0205" w14:textId="77777777" w:rsidR="0022285B" w:rsidRPr="0022285B" w:rsidRDefault="0022285B" w:rsidP="00460064">
            <w:pPr>
              <w:ind w:left="35" w:right="43"/>
              <w:contextualSpacing/>
              <w:rPr>
                <w:rFonts w:ascii="Source Sans Pro" w:hAnsi="Source Sans Pro"/>
                <w:color w:val="3F3952"/>
                <w:sz w:val="21"/>
                <w:szCs w:val="21"/>
                <w:lang w:val="en-AU"/>
              </w:rPr>
            </w:pPr>
            <w:r w:rsidRPr="0022285B">
              <w:rPr>
                <w:rFonts w:ascii="Source Sans Pro" w:hAnsi="Source Sans Pro"/>
                <w:color w:val="3F3952"/>
                <w:sz w:val="21"/>
                <w:szCs w:val="21"/>
                <w:lang w:val="en-AU"/>
              </w:rPr>
              <w:t>12.  Build on current cross-sectoral forums and committees that include people with disability and other stakeholders to identify opportunities for reforms across the sectors.</w:t>
            </w:r>
          </w:p>
        </w:tc>
      </w:tr>
    </w:tbl>
    <w:p w14:paraId="0C4397C7" w14:textId="77777777" w:rsidR="00693371" w:rsidRDefault="00693371" w:rsidP="007C6606"/>
    <w:sectPr w:rsidR="00693371" w:rsidSect="006653E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D1B01" w14:textId="77777777" w:rsidR="004B6A88" w:rsidRDefault="004B6A88" w:rsidP="009429E5">
      <w:pPr>
        <w:spacing w:after="0" w:line="240" w:lineRule="auto"/>
      </w:pPr>
      <w:r>
        <w:separator/>
      </w:r>
    </w:p>
  </w:endnote>
  <w:endnote w:type="continuationSeparator" w:id="0">
    <w:p w14:paraId="6E82CFAC" w14:textId="77777777" w:rsidR="004B6A88" w:rsidRDefault="004B6A88" w:rsidP="0094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Lexend Light">
    <w:panose1 w:val="00000000000000000000"/>
    <w:charset w:val="4D"/>
    <w:family w:val="auto"/>
    <w:pitch w:val="variable"/>
    <w:sig w:usb0="A00000FF" w:usb1="4000205B" w:usb2="00000000" w:usb3="00000000" w:csb0="00000193" w:csb1="00000000"/>
  </w:font>
  <w:font w:name="Lexend">
    <w:panose1 w:val="00000000000000000000"/>
    <w:charset w:val="4D"/>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AF1B" w14:textId="77777777" w:rsidR="004B6A88" w:rsidRDefault="004B6A88" w:rsidP="009429E5">
      <w:pPr>
        <w:spacing w:after="0" w:line="240" w:lineRule="auto"/>
      </w:pPr>
      <w:r>
        <w:separator/>
      </w:r>
    </w:p>
  </w:footnote>
  <w:footnote w:type="continuationSeparator" w:id="0">
    <w:p w14:paraId="1F6D3A59" w14:textId="77777777" w:rsidR="004B6A88" w:rsidRDefault="004B6A88" w:rsidP="00942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0820"/>
    <w:multiLevelType w:val="hybridMultilevel"/>
    <w:tmpl w:val="C108E246"/>
    <w:lvl w:ilvl="0" w:tplc="3664005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812C45"/>
    <w:multiLevelType w:val="hybridMultilevel"/>
    <w:tmpl w:val="B63EF5CE"/>
    <w:lvl w:ilvl="0" w:tplc="65549FC4">
      <w:start w:val="1"/>
      <w:numFmt w:val="bullet"/>
      <w:pStyle w:val="Bulletpoints"/>
      <w:lvlText w:val=""/>
      <w:lvlJc w:val="left"/>
      <w:pPr>
        <w:ind w:left="730" w:hanging="360"/>
      </w:pPr>
      <w:rPr>
        <w:rFonts w:ascii="Symbol" w:hAnsi="Symbol" w:hint="default"/>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16cid:durableId="824053024">
    <w:abstractNumId w:val="1"/>
  </w:num>
  <w:num w:numId="2" w16cid:durableId="155106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5B"/>
    <w:rsid w:val="000042F6"/>
    <w:rsid w:val="00017055"/>
    <w:rsid w:val="00036817"/>
    <w:rsid w:val="000507FB"/>
    <w:rsid w:val="000573C7"/>
    <w:rsid w:val="00066575"/>
    <w:rsid w:val="00072411"/>
    <w:rsid w:val="00077451"/>
    <w:rsid w:val="000919F7"/>
    <w:rsid w:val="00096560"/>
    <w:rsid w:val="000A708A"/>
    <w:rsid w:val="000E631A"/>
    <w:rsid w:val="00104C99"/>
    <w:rsid w:val="00115498"/>
    <w:rsid w:val="00125A11"/>
    <w:rsid w:val="00131D71"/>
    <w:rsid w:val="0014396C"/>
    <w:rsid w:val="00152924"/>
    <w:rsid w:val="00165CA0"/>
    <w:rsid w:val="001852DF"/>
    <w:rsid w:val="00192DF4"/>
    <w:rsid w:val="001A3CF9"/>
    <w:rsid w:val="001B7DF2"/>
    <w:rsid w:val="001C41E3"/>
    <w:rsid w:val="001C4EF1"/>
    <w:rsid w:val="001C6630"/>
    <w:rsid w:val="001F1667"/>
    <w:rsid w:val="001F2D7B"/>
    <w:rsid w:val="00200A83"/>
    <w:rsid w:val="002106FD"/>
    <w:rsid w:val="00214F93"/>
    <w:rsid w:val="00217F40"/>
    <w:rsid w:val="0022285B"/>
    <w:rsid w:val="002430B4"/>
    <w:rsid w:val="00245D37"/>
    <w:rsid w:val="00247680"/>
    <w:rsid w:val="00262FB3"/>
    <w:rsid w:val="00274462"/>
    <w:rsid w:val="00275AAB"/>
    <w:rsid w:val="002801E0"/>
    <w:rsid w:val="002B05C5"/>
    <w:rsid w:val="002E27E2"/>
    <w:rsid w:val="00300E87"/>
    <w:rsid w:val="00304058"/>
    <w:rsid w:val="00306E66"/>
    <w:rsid w:val="00312DAF"/>
    <w:rsid w:val="00320AE8"/>
    <w:rsid w:val="003234A7"/>
    <w:rsid w:val="00324DC4"/>
    <w:rsid w:val="00327E28"/>
    <w:rsid w:val="0034152F"/>
    <w:rsid w:val="0034702A"/>
    <w:rsid w:val="003550FC"/>
    <w:rsid w:val="00366449"/>
    <w:rsid w:val="003728F0"/>
    <w:rsid w:val="00390FF4"/>
    <w:rsid w:val="003B78EA"/>
    <w:rsid w:val="003F14F3"/>
    <w:rsid w:val="00407E37"/>
    <w:rsid w:val="00430118"/>
    <w:rsid w:val="004333F3"/>
    <w:rsid w:val="004428D2"/>
    <w:rsid w:val="00453C69"/>
    <w:rsid w:val="00460064"/>
    <w:rsid w:val="00460DAA"/>
    <w:rsid w:val="004823E5"/>
    <w:rsid w:val="00485E8C"/>
    <w:rsid w:val="00495E3D"/>
    <w:rsid w:val="004A33E8"/>
    <w:rsid w:val="004A4404"/>
    <w:rsid w:val="004A70F2"/>
    <w:rsid w:val="004B13F8"/>
    <w:rsid w:val="004B6A88"/>
    <w:rsid w:val="004D1D16"/>
    <w:rsid w:val="004D4631"/>
    <w:rsid w:val="004F2C49"/>
    <w:rsid w:val="00511D57"/>
    <w:rsid w:val="00516CAD"/>
    <w:rsid w:val="00520F66"/>
    <w:rsid w:val="0052791D"/>
    <w:rsid w:val="005305BD"/>
    <w:rsid w:val="00537FAE"/>
    <w:rsid w:val="00547871"/>
    <w:rsid w:val="00552278"/>
    <w:rsid w:val="005566BD"/>
    <w:rsid w:val="00572EE7"/>
    <w:rsid w:val="00580329"/>
    <w:rsid w:val="00581F85"/>
    <w:rsid w:val="00583AEA"/>
    <w:rsid w:val="00583D6D"/>
    <w:rsid w:val="005A1442"/>
    <w:rsid w:val="005A5B2B"/>
    <w:rsid w:val="005B3A08"/>
    <w:rsid w:val="00604927"/>
    <w:rsid w:val="00606350"/>
    <w:rsid w:val="006122B1"/>
    <w:rsid w:val="00615540"/>
    <w:rsid w:val="006653E4"/>
    <w:rsid w:val="006714A8"/>
    <w:rsid w:val="00674295"/>
    <w:rsid w:val="00693371"/>
    <w:rsid w:val="00696185"/>
    <w:rsid w:val="006968AB"/>
    <w:rsid w:val="006F619B"/>
    <w:rsid w:val="0071525D"/>
    <w:rsid w:val="00716A06"/>
    <w:rsid w:val="00724E01"/>
    <w:rsid w:val="00724ECE"/>
    <w:rsid w:val="007266B8"/>
    <w:rsid w:val="007306A1"/>
    <w:rsid w:val="007331EB"/>
    <w:rsid w:val="00736744"/>
    <w:rsid w:val="007536E2"/>
    <w:rsid w:val="00755815"/>
    <w:rsid w:val="00755E0A"/>
    <w:rsid w:val="007630A8"/>
    <w:rsid w:val="00765713"/>
    <w:rsid w:val="00791DCF"/>
    <w:rsid w:val="00796189"/>
    <w:rsid w:val="007A2E2D"/>
    <w:rsid w:val="007A78AE"/>
    <w:rsid w:val="007C3B02"/>
    <w:rsid w:val="007C5B83"/>
    <w:rsid w:val="007C6606"/>
    <w:rsid w:val="007D32ED"/>
    <w:rsid w:val="007E6C12"/>
    <w:rsid w:val="007E7585"/>
    <w:rsid w:val="007F6F1B"/>
    <w:rsid w:val="0081015F"/>
    <w:rsid w:val="008109A8"/>
    <w:rsid w:val="00836351"/>
    <w:rsid w:val="00842B4D"/>
    <w:rsid w:val="00850D02"/>
    <w:rsid w:val="00893B2A"/>
    <w:rsid w:val="008B6487"/>
    <w:rsid w:val="008E27AE"/>
    <w:rsid w:val="008F7ED9"/>
    <w:rsid w:val="00911799"/>
    <w:rsid w:val="009429E5"/>
    <w:rsid w:val="00947075"/>
    <w:rsid w:val="009567FA"/>
    <w:rsid w:val="009859EF"/>
    <w:rsid w:val="009870F7"/>
    <w:rsid w:val="00992506"/>
    <w:rsid w:val="009D7B32"/>
    <w:rsid w:val="00A010BF"/>
    <w:rsid w:val="00A0143E"/>
    <w:rsid w:val="00A32BA8"/>
    <w:rsid w:val="00A4653E"/>
    <w:rsid w:val="00A50BDC"/>
    <w:rsid w:val="00A53157"/>
    <w:rsid w:val="00A552D8"/>
    <w:rsid w:val="00A557A7"/>
    <w:rsid w:val="00A675CE"/>
    <w:rsid w:val="00A765C6"/>
    <w:rsid w:val="00A82BAF"/>
    <w:rsid w:val="00A913AF"/>
    <w:rsid w:val="00A958B5"/>
    <w:rsid w:val="00AA2663"/>
    <w:rsid w:val="00AB237E"/>
    <w:rsid w:val="00AB2A90"/>
    <w:rsid w:val="00AF4171"/>
    <w:rsid w:val="00B17DD0"/>
    <w:rsid w:val="00B538D5"/>
    <w:rsid w:val="00B57151"/>
    <w:rsid w:val="00B573EE"/>
    <w:rsid w:val="00BA4093"/>
    <w:rsid w:val="00BB4B67"/>
    <w:rsid w:val="00BF4C0C"/>
    <w:rsid w:val="00C456D6"/>
    <w:rsid w:val="00C56CC9"/>
    <w:rsid w:val="00C67E2E"/>
    <w:rsid w:val="00C92EEE"/>
    <w:rsid w:val="00C94412"/>
    <w:rsid w:val="00CB3936"/>
    <w:rsid w:val="00CB6CA8"/>
    <w:rsid w:val="00CC067A"/>
    <w:rsid w:val="00CC2199"/>
    <w:rsid w:val="00CC23A9"/>
    <w:rsid w:val="00CD2967"/>
    <w:rsid w:val="00CE0AC2"/>
    <w:rsid w:val="00CE0DB4"/>
    <w:rsid w:val="00D0662B"/>
    <w:rsid w:val="00D252FF"/>
    <w:rsid w:val="00D331B7"/>
    <w:rsid w:val="00D36677"/>
    <w:rsid w:val="00D36CAF"/>
    <w:rsid w:val="00D5379D"/>
    <w:rsid w:val="00D83C90"/>
    <w:rsid w:val="00D85C04"/>
    <w:rsid w:val="00D877ED"/>
    <w:rsid w:val="00DB584A"/>
    <w:rsid w:val="00DD3AB3"/>
    <w:rsid w:val="00DD4C44"/>
    <w:rsid w:val="00DD69C1"/>
    <w:rsid w:val="00DE049A"/>
    <w:rsid w:val="00E07D77"/>
    <w:rsid w:val="00E411D5"/>
    <w:rsid w:val="00E42874"/>
    <w:rsid w:val="00E60F0F"/>
    <w:rsid w:val="00E6731E"/>
    <w:rsid w:val="00E77A75"/>
    <w:rsid w:val="00EB1C00"/>
    <w:rsid w:val="00EB7004"/>
    <w:rsid w:val="00EB78EE"/>
    <w:rsid w:val="00ED035C"/>
    <w:rsid w:val="00ED2D91"/>
    <w:rsid w:val="00EE55AF"/>
    <w:rsid w:val="00EF10D5"/>
    <w:rsid w:val="00EF74DA"/>
    <w:rsid w:val="00F05A26"/>
    <w:rsid w:val="00F1303C"/>
    <w:rsid w:val="00F3734E"/>
    <w:rsid w:val="00F421EA"/>
    <w:rsid w:val="00F42F60"/>
    <w:rsid w:val="00F54D95"/>
    <w:rsid w:val="00F655C6"/>
    <w:rsid w:val="00F83142"/>
    <w:rsid w:val="00F9045B"/>
    <w:rsid w:val="00F93411"/>
    <w:rsid w:val="00FD7263"/>
    <w:rsid w:val="00FF47D7"/>
    <w:rsid w:val="00FF7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EF2F"/>
  <w15:chartTrackingRefBased/>
  <w15:docId w15:val="{FB1F05A6-985A-BF49-8E27-E3D4A95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ource Sans Pro"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AC"/>
    <w:pPr>
      <w:spacing w:after="236" w:line="231" w:lineRule="auto"/>
      <w:ind w:right="237"/>
    </w:pPr>
    <w:rPr>
      <w:rFonts w:ascii="Lexend Light" w:hAnsi="Lexend Light" w:cs="Source Sans Pro"/>
      <w:color w:val="000000" w:themeColor="text1"/>
      <w:kern w:val="0"/>
      <w:sz w:val="22"/>
      <w:lang w:val="en-US" w:bidi="en-US"/>
      <w14:ligatures w14:val="none"/>
    </w:rPr>
  </w:style>
  <w:style w:type="paragraph" w:styleId="Heading1">
    <w:name w:val="heading 1"/>
    <w:basedOn w:val="Normal"/>
    <w:next w:val="Normal"/>
    <w:link w:val="Heading1Char"/>
    <w:autoRedefine/>
    <w:uiPriority w:val="9"/>
    <w:qFormat/>
    <w:rsid w:val="00FF7AAC"/>
    <w:pPr>
      <w:keepNext/>
      <w:keepLines/>
      <w:spacing w:before="360" w:after="80"/>
      <w:outlineLvl w:val="0"/>
    </w:pPr>
    <w:rPr>
      <w:rFonts w:ascii="Lexend" w:eastAsiaTheme="majorEastAsia" w:hAnsi="Lexend" w:cstheme="majorBidi"/>
      <w:color w:val="201B69"/>
      <w:sz w:val="40"/>
      <w:szCs w:val="40"/>
    </w:rPr>
  </w:style>
  <w:style w:type="paragraph" w:styleId="Heading2">
    <w:name w:val="heading 2"/>
    <w:basedOn w:val="Normal"/>
    <w:next w:val="Normal"/>
    <w:link w:val="Heading2Char"/>
    <w:autoRedefine/>
    <w:uiPriority w:val="9"/>
    <w:unhideWhenUsed/>
    <w:qFormat/>
    <w:rsid w:val="00FF7AAC"/>
    <w:pPr>
      <w:keepNext/>
      <w:keepLines/>
      <w:spacing w:before="160" w:after="80"/>
      <w:outlineLvl w:val="1"/>
    </w:pPr>
    <w:rPr>
      <w:rFonts w:ascii="Lexend" w:eastAsiaTheme="majorEastAsia" w:hAnsi="Lexend" w:cstheme="majorBidi"/>
      <w:color w:val="201B69"/>
      <w:sz w:val="32"/>
      <w:szCs w:val="32"/>
    </w:rPr>
  </w:style>
  <w:style w:type="paragraph" w:styleId="Heading3">
    <w:name w:val="heading 3"/>
    <w:next w:val="Normal"/>
    <w:link w:val="Heading3Char"/>
    <w:autoRedefine/>
    <w:uiPriority w:val="9"/>
    <w:unhideWhenUsed/>
    <w:qFormat/>
    <w:rsid w:val="00FF7AAC"/>
    <w:pPr>
      <w:keepNext/>
      <w:keepLines/>
      <w:spacing w:after="212" w:line="259" w:lineRule="auto"/>
      <w:ind w:left="24" w:hanging="10"/>
      <w:outlineLvl w:val="2"/>
    </w:pPr>
    <w:rPr>
      <w:rFonts w:ascii="Lexend" w:hAnsi="Lexend" w:cs="Source Sans Pro"/>
      <w:b/>
      <w:i/>
      <w:color w:val="094183" w:themeColor="text2"/>
      <w:sz w:val="22"/>
    </w:rPr>
  </w:style>
  <w:style w:type="paragraph" w:styleId="Heading4">
    <w:name w:val="heading 4"/>
    <w:basedOn w:val="Normal"/>
    <w:next w:val="Normal"/>
    <w:link w:val="Heading4Char"/>
    <w:autoRedefine/>
    <w:uiPriority w:val="9"/>
    <w:unhideWhenUsed/>
    <w:qFormat/>
    <w:rsid w:val="00FF7AAC"/>
    <w:pPr>
      <w:keepNext/>
      <w:keepLines/>
      <w:spacing w:before="80" w:after="40"/>
      <w:outlineLvl w:val="3"/>
    </w:pPr>
    <w:rPr>
      <w:rFonts w:ascii="Lexend" w:eastAsiaTheme="majorEastAsia" w:hAnsi="Lexend" w:cstheme="majorBidi"/>
      <w:iCs/>
      <w:color w:val="094183" w:themeColor="text2"/>
    </w:rPr>
  </w:style>
  <w:style w:type="paragraph" w:styleId="Heading5">
    <w:name w:val="heading 5"/>
    <w:basedOn w:val="Normal"/>
    <w:next w:val="Normal"/>
    <w:link w:val="Heading5Char"/>
    <w:autoRedefine/>
    <w:uiPriority w:val="9"/>
    <w:unhideWhenUsed/>
    <w:qFormat/>
    <w:rsid w:val="00FF7AAC"/>
    <w:pPr>
      <w:keepNext/>
      <w:keepLines/>
      <w:spacing w:before="80" w:after="40"/>
      <w:outlineLvl w:val="4"/>
    </w:pPr>
    <w:rPr>
      <w:rFonts w:ascii="Lexend" w:eastAsiaTheme="majorEastAsia" w:hAnsi="Lexend" w:cstheme="majorBidi"/>
      <w:color w:val="09418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85E8C"/>
    <w:pPr>
      <w:spacing w:after="200" w:line="240" w:lineRule="auto"/>
    </w:pPr>
    <w:rPr>
      <w:i/>
      <w:iCs/>
      <w:color w:val="094183" w:themeColor="text2"/>
      <w:sz w:val="20"/>
      <w:szCs w:val="18"/>
    </w:rPr>
  </w:style>
  <w:style w:type="paragraph" w:customStyle="1" w:styleId="Bulletpoints">
    <w:name w:val="Bullet points"/>
    <w:basedOn w:val="ListParagraph"/>
    <w:qFormat/>
    <w:rsid w:val="00485E8C"/>
    <w:pPr>
      <w:numPr>
        <w:numId w:val="1"/>
      </w:numPr>
      <w:spacing w:after="120"/>
      <w:ind w:right="238"/>
    </w:pPr>
    <w:rPr>
      <w:lang w:val="en-AU"/>
    </w:rPr>
  </w:style>
  <w:style w:type="paragraph" w:styleId="ListParagraph">
    <w:name w:val="List Paragraph"/>
    <w:basedOn w:val="Normal"/>
    <w:uiPriority w:val="34"/>
    <w:qFormat/>
    <w:rsid w:val="00B573EE"/>
    <w:pPr>
      <w:numPr>
        <w:numId w:val="2"/>
      </w:numPr>
      <w:spacing w:after="80" w:line="240" w:lineRule="auto"/>
      <w:ind w:right="0"/>
    </w:pPr>
  </w:style>
  <w:style w:type="character" w:customStyle="1" w:styleId="Heading3Char">
    <w:name w:val="Heading 3 Char"/>
    <w:link w:val="Heading3"/>
    <w:uiPriority w:val="9"/>
    <w:rsid w:val="00FF7AAC"/>
    <w:rPr>
      <w:rFonts w:ascii="Lexend" w:hAnsi="Lexend" w:cs="Source Sans Pro"/>
      <w:b/>
      <w:i/>
      <w:color w:val="094183" w:themeColor="text2"/>
      <w:sz w:val="22"/>
    </w:rPr>
  </w:style>
  <w:style w:type="character" w:customStyle="1" w:styleId="Heading4Char">
    <w:name w:val="Heading 4 Char"/>
    <w:basedOn w:val="DefaultParagraphFont"/>
    <w:link w:val="Heading4"/>
    <w:uiPriority w:val="9"/>
    <w:rsid w:val="00FF7AAC"/>
    <w:rPr>
      <w:rFonts w:ascii="Lexend" w:eastAsiaTheme="majorEastAsia" w:hAnsi="Lexend" w:cstheme="majorBidi"/>
      <w:iCs/>
      <w:color w:val="094183" w:themeColor="text2"/>
      <w:kern w:val="0"/>
      <w:sz w:val="22"/>
      <w:lang w:val="en-US" w:bidi="en-US"/>
      <w14:ligatures w14:val="none"/>
    </w:rPr>
  </w:style>
  <w:style w:type="character" w:styleId="Hyperlink">
    <w:name w:val="Hyperlink"/>
    <w:basedOn w:val="DefaultParagraphFont"/>
    <w:uiPriority w:val="99"/>
    <w:unhideWhenUsed/>
    <w:rsid w:val="00B573EE"/>
    <w:rPr>
      <w:rFonts w:ascii="Source Sans Pro" w:hAnsi="Source Sans Pro"/>
      <w:color w:val="000000" w:themeColor="hyperlink"/>
      <w:u w:val="single"/>
    </w:rPr>
  </w:style>
  <w:style w:type="character" w:customStyle="1" w:styleId="Heading5Char">
    <w:name w:val="Heading 5 Char"/>
    <w:basedOn w:val="DefaultParagraphFont"/>
    <w:link w:val="Heading5"/>
    <w:uiPriority w:val="9"/>
    <w:rsid w:val="00FF7AAC"/>
    <w:rPr>
      <w:rFonts w:ascii="Lexend" w:eastAsiaTheme="majorEastAsia" w:hAnsi="Lexend" w:cstheme="majorBidi"/>
      <w:color w:val="094183" w:themeColor="text2"/>
      <w:kern w:val="0"/>
      <w:sz w:val="22"/>
      <w:lang w:val="en-US" w:bidi="en-US"/>
      <w14:ligatures w14:val="none"/>
    </w:rPr>
  </w:style>
  <w:style w:type="character" w:customStyle="1" w:styleId="Heading1Char">
    <w:name w:val="Heading 1 Char"/>
    <w:basedOn w:val="DefaultParagraphFont"/>
    <w:link w:val="Heading1"/>
    <w:uiPriority w:val="9"/>
    <w:rsid w:val="00FF7AAC"/>
    <w:rPr>
      <w:rFonts w:ascii="Lexend" w:eastAsiaTheme="majorEastAsia" w:hAnsi="Lexend" w:cstheme="majorBidi"/>
      <w:color w:val="201B69"/>
      <w:kern w:val="0"/>
      <w:sz w:val="40"/>
      <w:szCs w:val="40"/>
      <w:lang w:val="en-US" w:bidi="en-US"/>
      <w14:ligatures w14:val="none"/>
    </w:rPr>
  </w:style>
  <w:style w:type="character" w:customStyle="1" w:styleId="Heading2Char">
    <w:name w:val="Heading 2 Char"/>
    <w:basedOn w:val="DefaultParagraphFont"/>
    <w:link w:val="Heading2"/>
    <w:uiPriority w:val="9"/>
    <w:rsid w:val="00FF7AAC"/>
    <w:rPr>
      <w:rFonts w:ascii="Lexend" w:eastAsiaTheme="majorEastAsia" w:hAnsi="Lexend" w:cstheme="majorBidi"/>
      <w:color w:val="201B69"/>
      <w:kern w:val="0"/>
      <w:sz w:val="32"/>
      <w:szCs w:val="32"/>
      <w:lang w:val="en-US" w:bidi="en-US"/>
      <w14:ligatures w14:val="none"/>
    </w:rPr>
  </w:style>
  <w:style w:type="paragraph" w:customStyle="1" w:styleId="Documenttitle">
    <w:name w:val="Document title"/>
    <w:basedOn w:val="Title"/>
    <w:next w:val="Normal"/>
    <w:qFormat/>
    <w:rsid w:val="00FF7AAC"/>
    <w:pPr>
      <w:spacing w:after="0"/>
    </w:pPr>
    <w:rPr>
      <w:rFonts w:ascii="Lexend" w:hAnsi="Lexend"/>
      <w:b/>
      <w:color w:val="094183" w:themeColor="text2"/>
      <w:sz w:val="60"/>
    </w:rPr>
  </w:style>
  <w:style w:type="paragraph" w:styleId="Title">
    <w:name w:val="Title"/>
    <w:basedOn w:val="Normal"/>
    <w:next w:val="Normal"/>
    <w:link w:val="TitleChar"/>
    <w:uiPriority w:val="10"/>
    <w:qFormat/>
    <w:rsid w:val="00FF7AA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F7AAC"/>
    <w:rPr>
      <w:rFonts w:asciiTheme="majorHAnsi" w:eastAsiaTheme="majorEastAsia" w:hAnsiTheme="majorHAnsi" w:cstheme="majorBidi"/>
      <w:spacing w:val="-10"/>
      <w:kern w:val="28"/>
      <w:sz w:val="56"/>
      <w:szCs w:val="56"/>
      <w:lang w:val="en-US" w:bidi="en-US"/>
      <w14:ligatures w14:val="none"/>
    </w:rPr>
  </w:style>
  <w:style w:type="paragraph" w:styleId="Header">
    <w:name w:val="header"/>
    <w:basedOn w:val="Normal"/>
    <w:link w:val="HeaderChar"/>
    <w:uiPriority w:val="99"/>
    <w:unhideWhenUsed/>
    <w:rsid w:val="0094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9E5"/>
    <w:rPr>
      <w:rFonts w:ascii="Lexend Light" w:hAnsi="Lexend Light" w:cs="Source Sans Pro"/>
      <w:color w:val="000000" w:themeColor="text1"/>
      <w:kern w:val="0"/>
      <w:sz w:val="22"/>
      <w:lang w:val="en-US" w:bidi="en-US"/>
      <w14:ligatures w14:val="none"/>
    </w:rPr>
  </w:style>
  <w:style w:type="paragraph" w:styleId="Footer">
    <w:name w:val="footer"/>
    <w:basedOn w:val="Normal"/>
    <w:link w:val="FooterChar"/>
    <w:uiPriority w:val="99"/>
    <w:unhideWhenUsed/>
    <w:rsid w:val="0094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9E5"/>
    <w:rPr>
      <w:rFonts w:ascii="Lexend Light" w:hAnsi="Lexend Light" w:cs="Source Sans Pro"/>
      <w:color w:val="000000" w:themeColor="text1"/>
      <w:kern w:val="0"/>
      <w:sz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188/241717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lly/Library/Group%20Containers/UBF8T346G9.Office/User%20Content.localized/Templates.localized/Normal.dotm" TargetMode="External"/></Relationships>
</file>

<file path=word/theme/theme1.xml><?xml version="1.0" encoding="utf-8"?>
<a:theme xmlns:a="http://schemas.openxmlformats.org/drawingml/2006/main" name="UoM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Sully</dc:creator>
  <cp:keywords/>
  <dc:description/>
  <cp:lastModifiedBy>Alex Sully</cp:lastModifiedBy>
  <cp:revision>6</cp:revision>
  <dcterms:created xsi:type="dcterms:W3CDTF">2024-07-23T06:48:00Z</dcterms:created>
  <dcterms:modified xsi:type="dcterms:W3CDTF">2024-07-25T05:30:00Z</dcterms:modified>
</cp:coreProperties>
</file>